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 xml:space="preserve">财政部 税务总局关于先进制造业企业增值税加计抵减政策的公告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center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财政部 税务总局公告2023年第43号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t>　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现将先进制造业企业增值税加计抵减政策公告如下：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一、自2023年1月1日至2027年12月31日，允许先进制造业企业按照当期可抵扣进项税额加计5%抵减应纳增值税税额（以下称加计抵减政策）。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本公告所称先进制造业企业是指高新技术企业（含所属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的非法人分支机构）中的制造业一般纳税人，高新技术企业是指按照《科技部 财政部 国家税务总局关于修订印发〈高新技术企业认定管理办法〉的通知》（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instrText xml:space="preserve"> HYPERLINK "mk:@MSITStore:E:\\找政策\\gkhelptax24.0331.CHM::/03.增值税/2.具体规定/2023/../../../06.企业所得税/2.具体规定/2016/gkfh2016032.htm" </w:instrTex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国科发火〔2016〕32号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）规定认定的高新技术企业。先进制造业企业具体名单，由各省、自治区、直辖市、计划单列市工业和信息化部门会同同级科技、财政、税务部门确定。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二、先进制造业企业按照当期可抵扣进项税额的5%计提当期加计抵减额。按照现行规定不得从销项税额中抵扣的进项税额，不得计提加计抵减额；已计提加计抵减额的进项税额，按规定作进项税额转出的，应在进项税额转出当期，相应调减加计抵减额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三、先进制造业企业按照现行规定计算一般计税方法下的应纳税额（以下称抵减前的应纳税额）后，区分以下情形加计抵减：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1.抵减前的应纳税额等于零的，当期可抵减加计抵减额全部结转下期抵减；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2.抵减前的应纳税额大于零，且大于当期可抵减加计抵减额的，当期可抵减加计抵减额全额从抵减前的应纳税额中抵减；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3.抵减前的应纳税额大于零，且小于或等于当期可抵减加计抵减额的，以当期可抵减加计抵减额抵减应纳税额至零；未抵减完的当期可抵减加计抵减额，结转下期继续抵减。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四、先进制造业企业可计提但未计提的加计抵减额，可在确定适用加计抵减政策当期一并计提。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五、先进制造业企业出口货物劳务、发生跨境应税行为不适用加计抵减政策，其对应的进项税额不得计提加计抵减额。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先进制造业企业兼营出口货物劳务、发生跨境应税行为且无法划分不得计提加计抵减额的进项税额，按照以下公式计算：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不得计提加计抵减额的进项税额＝当期无法划分的全部进项税额×当期出口货物劳务和发生跨境应税行为的销售额÷当期全部销售额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六、先进制造业企业应单独核算加计抵减额的计提、抵减、调减、结余等变动情况。骗取适用加计抵减政策或虚增加计抵减额的，按照《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instrText xml:space="preserve"> HYPERLINK "mk:@MSITStore:E:\\找政策\\gkhelptax24.0331.CHM::/03.增值税/2.具体规定/2023/../../../21.征收管理类/01.征收管理/1.基本法规/a101049.htm" </w:instrTex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中华人民共和国税收征收管理法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》等有关规定处理。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七、先进制造业企业同时符合多项增值税加计抵减政策的，可以择优选择适用，但在同一期间不得叠加适用。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特此公告。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财政部 税务总局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2023年9月3日</w:t>
      </w:r>
    </w:p>
    <w:sectPr>
      <w:pgSz w:w="11906" w:h="16838"/>
      <w:pgMar w:top="1440" w:right="136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DB5547"/>
    <w:rsid w:val="51DB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2024-08-28T07:20:00Z</dcterms:created>
  <dc:creator>len</dc:creator>
  <cp:lastModifiedBy>王际勇</cp:lastModifiedBy>
  <dcterms:modified xsi:type="dcterms:W3CDTF">2024-08-29T01:00:23Z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